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15                                 R4-2506953</w:t>
      </w:r>
      <w:bookmarkStart w:id="10" w:name="_GoBack"/>
      <w:bookmarkEnd w:id="10"/>
    </w:p>
    <w:bookmarkEnd w:id="2"/>
    <w:p>
      <w:pPr>
        <w:pStyle w:val="19"/>
        <w:tabs>
          <w:tab w:val="right" w:pos="9781"/>
          <w:tab w:val="right" w:pos="13323"/>
          <w:tab w:val="clear" w:pos="4680"/>
          <w:tab w:val="clear" w:pos="9360"/>
        </w:tabs>
        <w:spacing w:before="60" w:after="60"/>
        <w:outlineLvl w:val="0"/>
        <w:rPr>
          <w:rFonts w:hint="eastAsia" w:ascii="Arial" w:hAnsi="Arial" w:eastAsia="宋体" w:cs="Arial"/>
          <w:b/>
          <w:color w:val="auto"/>
          <w:sz w:val="24"/>
          <w:szCs w:val="24"/>
          <w:lang w:eastAsia="zh-CN"/>
        </w:rPr>
      </w:pPr>
      <w:r>
        <w:rPr>
          <w:rFonts w:hint="eastAsia" w:ascii="Arial" w:hAnsi="Arial" w:eastAsia="宋体" w:cs="Arial"/>
          <w:b/>
          <w:color w:val="auto"/>
          <w:sz w:val="24"/>
          <w:szCs w:val="24"/>
          <w:lang w:eastAsia="zh-CN"/>
        </w:rPr>
        <w:t>Malta, MT, 19th – 23rd May, 2025</w:t>
      </w:r>
    </w:p>
    <w:p>
      <w:pPr>
        <w:pStyle w:val="19"/>
        <w:tabs>
          <w:tab w:val="right" w:pos="9781"/>
          <w:tab w:val="right" w:pos="13323"/>
          <w:tab w:val="clear" w:pos="4680"/>
          <w:tab w:val="clear" w:pos="9360"/>
        </w:tabs>
        <w:spacing w:before="60" w:after="60"/>
        <w:outlineLvl w:val="9"/>
        <w:rPr>
          <w:rFonts w:hint="eastAsia" w:ascii="Arial" w:hAnsi="Arial" w:eastAsia="宋体" w:cs="Arial"/>
          <w:b/>
          <w:color w:val="auto"/>
          <w:sz w:val="24"/>
          <w:szCs w:val="24"/>
          <w:lang w:eastAsia="zh-CN"/>
        </w:rPr>
      </w:pP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 xml:space="preserve">Discussion on </w:t>
      </w:r>
      <w:r>
        <w:rPr>
          <w:rFonts w:hint="eastAsia" w:ascii="Arial" w:hAnsi="Arial"/>
          <w:b/>
          <w:sz w:val="24"/>
          <w:lang w:val="en-US" w:eastAsia="zh-CN"/>
        </w:rPr>
        <w:t xml:space="preserve">SAN </w:t>
      </w:r>
      <w:r>
        <w:rPr>
          <w:rFonts w:hint="eastAsia" w:ascii="Arial" w:hAnsi="Arial"/>
          <w:b/>
          <w:sz w:val="24"/>
          <w:lang w:val="pt-BR"/>
        </w:rPr>
        <w:t>demodulation performance requirements fo</w:t>
      </w:r>
      <w:r>
        <w:rPr>
          <w:rFonts w:hint="eastAsia" w:ascii="Arial" w:hAnsi="Arial"/>
          <w:b/>
          <w:sz w:val="24"/>
          <w:lang w:val="en-US" w:eastAsia="zh-CN"/>
        </w:rPr>
        <w:t>r IoT-NTN</w:t>
      </w:r>
    </w:p>
    <w:p>
      <w:pPr>
        <w:widowControl w:val="0"/>
        <w:tabs>
          <w:tab w:val="left" w:pos="1985"/>
        </w:tabs>
        <w:spacing w:before="120" w:after="120"/>
        <w:outlineLvl w:val="0"/>
        <w:rPr>
          <w:rStyle w:val="62"/>
          <w:rFonts w:hint="default" w:eastAsia="宋体"/>
          <w:b/>
          <w:lang w:val="en-US" w:eastAsia="zh-CN"/>
        </w:rPr>
      </w:pPr>
      <w:r>
        <w:rPr>
          <w:rFonts w:ascii="Arial" w:hAnsi="Arial"/>
          <w:b/>
          <w:sz w:val="24"/>
        </w:rPr>
        <w:t xml:space="preserve">Source: </w:t>
      </w:r>
      <w:r>
        <w:rPr>
          <w:rFonts w:ascii="Arial" w:hAnsi="Arial"/>
          <w:b/>
          <w:sz w:val="24"/>
        </w:rPr>
        <w:tab/>
      </w:r>
      <w:r>
        <w:rPr>
          <w:rStyle w:val="62"/>
          <w:rFonts w:hint="eastAsia"/>
          <w:b/>
        </w:rPr>
        <w:t>ZTE Corporation</w:t>
      </w:r>
      <w:r>
        <w:rPr>
          <w:rStyle w:val="62"/>
          <w:rFonts w:hint="eastAsia"/>
          <w:b/>
          <w:lang w:val="en-US" w:eastAsia="zh-CN"/>
        </w:rPr>
        <w:t>, Sanechips</w:t>
      </w:r>
    </w:p>
    <w:p>
      <w:pPr>
        <w:widowControl w:val="0"/>
        <w:tabs>
          <w:tab w:val="left" w:pos="1985"/>
        </w:tabs>
        <w:spacing w:before="120" w:after="120"/>
        <w:outlineLvl w:val="0"/>
        <w:rPr>
          <w:rStyle w:val="62"/>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7.32.6</w:t>
      </w:r>
    </w:p>
    <w:p>
      <w:pPr>
        <w:widowControl w:val="0"/>
        <w:tabs>
          <w:tab w:val="left" w:pos="1985"/>
        </w:tabs>
        <w:spacing w:before="120" w:after="120"/>
        <w:ind w:left="1980" w:hanging="1980"/>
        <w:outlineLvl w:val="0"/>
        <w:rPr>
          <w:rStyle w:val="62"/>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#105 meeting, the revised WID of Non-Terrestrial Networks (NTN) for Internet of Things (IoT) Phase 3 was approved in [1], wherein the objectives related to IoT-NTN are listed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8"/>
              </w:numPr>
              <w:suppressLineNumbers w:val="0"/>
              <w:overflowPunct w:val="0"/>
              <w:autoSpaceDE w:val="0"/>
              <w:autoSpaceDN w:val="0"/>
              <w:adjustRightInd w:val="0"/>
              <w:spacing w:before="0" w:beforeAutospacing="0" w:after="0" w:afterAutospacing="0"/>
              <w:ind w:right="0"/>
              <w:textAlignment w:val="baseline"/>
              <w:rPr>
                <w:rFonts w:hint="default"/>
                <w:bCs/>
                <w:szCs w:val="20"/>
              </w:rPr>
            </w:pPr>
            <w:bookmarkStart w:id="3" w:name="OLE_LINK19"/>
            <w:bookmarkStart w:id="4" w:name="OLE_LINK20"/>
            <w:r>
              <w:rPr>
                <w:rFonts w:hint="default"/>
                <w:bCs/>
                <w:szCs w:val="20"/>
              </w:rPr>
              <w:t>Support of Capacity enhancements for uplink</w:t>
            </w:r>
            <w:bookmarkEnd w:id="3"/>
          </w:p>
          <w:bookmarkEnd w:id="4"/>
          <w:p>
            <w:pPr>
              <w:keepNext w:val="0"/>
              <w:keepLines w:val="0"/>
              <w:widowControl/>
              <w:numPr>
                <w:ilvl w:val="1"/>
                <w:numId w:val="8"/>
              </w:numPr>
              <w:suppressLineNumbers w:val="0"/>
              <w:overflowPunct w:val="0"/>
              <w:autoSpaceDE w:val="0"/>
              <w:autoSpaceDN w:val="0"/>
              <w:adjustRightInd w:val="0"/>
              <w:spacing w:before="0" w:beforeAutospacing="0" w:after="0" w:afterAutospacing="0"/>
              <w:ind w:right="0"/>
              <w:textAlignment w:val="baseline"/>
              <w:rPr>
                <w:rFonts w:hint="default"/>
                <w:bCs/>
                <w:szCs w:val="20"/>
              </w:rPr>
            </w:pPr>
            <w:r>
              <w:rPr>
                <w:rFonts w:hint="default"/>
                <w:bCs/>
                <w:szCs w:val="20"/>
              </w:rPr>
              <w:t xml:space="preserve">Study then specify, if beneficial, enhancements to enable </w:t>
            </w:r>
            <w:bookmarkStart w:id="5" w:name="OLE_LINK16"/>
            <w:r>
              <w:rPr>
                <w:rFonts w:hint="default"/>
                <w:bCs/>
                <w:szCs w:val="20"/>
              </w:rPr>
              <w:t xml:space="preserve">multiplexing of multiple UEs </w:t>
            </w:r>
            <w:bookmarkEnd w:id="5"/>
            <w:r>
              <w:rPr>
                <w:rFonts w:hint="default"/>
                <w:bCs/>
                <w:szCs w:val="20"/>
              </w:rPr>
              <w:t>(e.g. up to the min of 4 and the maximum allowed by the existing UL and DL signalling) in a single 3.75 kHz or 15 kHz subcarrier via orthogonal cover codes (</w:t>
            </w:r>
            <w:bookmarkStart w:id="6" w:name="OLE_LINK15"/>
            <w:r>
              <w:rPr>
                <w:rFonts w:hint="default"/>
                <w:bCs/>
                <w:szCs w:val="20"/>
              </w:rPr>
              <w:t>OCC</w:t>
            </w:r>
            <w:bookmarkEnd w:id="6"/>
            <w:r>
              <w:rPr>
                <w:rFonts w:hint="default"/>
                <w:bCs/>
                <w:szCs w:val="20"/>
              </w:rPr>
              <w:t>) for NPUSCH format 1 and NPRACH [RAN1, RAN2, RAN4]</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right="0"/>
              <w:textAlignment w:val="baseline"/>
              <w:rPr>
                <w:rFonts w:hint="default"/>
                <w:bCs/>
                <w:szCs w:val="20"/>
              </w:rPr>
            </w:pPr>
            <w:r>
              <w:rPr>
                <w:rFonts w:hint="default"/>
                <w:bCs/>
                <w:szCs w:val="20"/>
              </w:rPr>
              <w:t>Multi-tone support for 15 kHz SCS should also be considered</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right="0"/>
              <w:textAlignment w:val="baseline"/>
              <w:rPr>
                <w:rFonts w:hint="default"/>
                <w:bCs/>
                <w:szCs w:val="20"/>
              </w:rPr>
            </w:pPr>
            <w:r>
              <w:rPr>
                <w:rFonts w:hint="default"/>
                <w:bCs/>
                <w:szCs w:val="20"/>
              </w:rPr>
              <w:t xml:space="preserve">Specify necessary signalling, if needed </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right="0"/>
              <w:textAlignment w:val="baseline"/>
              <w:rPr>
                <w:rFonts w:hint="default"/>
                <w:bCs/>
                <w:i/>
                <w:iCs/>
                <w:szCs w:val="20"/>
              </w:rPr>
            </w:pPr>
            <w:r>
              <w:rPr>
                <w:rFonts w:hint="default"/>
                <w:bCs/>
                <w:szCs w:val="20"/>
              </w:rPr>
              <w:t>Update RF requirements accordingly, if neede</w:t>
            </w:r>
            <w:r>
              <w:rPr>
                <w:rFonts w:hint="eastAsia"/>
                <w:bCs/>
                <w:szCs w:val="20"/>
                <w:lang w:val="en-US" w:eastAsia="zh-CN"/>
              </w:rPr>
              <w:t>d</w:t>
            </w:r>
          </w:p>
          <w:p>
            <w:pPr>
              <w:keepNext w:val="0"/>
              <w:keepLines w:val="0"/>
              <w:widowControl/>
              <w:suppressLineNumbers w:val="0"/>
              <w:overflowPunct w:val="0"/>
              <w:autoSpaceDE w:val="0"/>
              <w:autoSpaceDN w:val="0"/>
              <w:adjustRightInd w:val="0"/>
              <w:spacing w:before="0" w:beforeAutospacing="0" w:after="0" w:afterAutospacing="0"/>
              <w:ind w:left="1080" w:right="0" w:firstLine="720"/>
              <w:textAlignment w:val="baseline"/>
              <w:rPr>
                <w:rFonts w:hint="default"/>
                <w:bCs/>
                <w:i/>
                <w:iCs/>
                <w:szCs w:val="20"/>
              </w:rPr>
            </w:pPr>
            <w:bookmarkStart w:id="7" w:name="OLE_LINK24"/>
            <w:r>
              <w:rPr>
                <w:rFonts w:hint="default"/>
                <w:bCs/>
                <w:szCs w:val="20"/>
              </w:rPr>
              <w:t>Note: Impact of impairment shall be taken into account</w:t>
            </w:r>
            <w:bookmarkEnd w:id="7"/>
          </w:p>
          <w:p>
            <w:pPr>
              <w:keepNext w:val="0"/>
              <w:keepLines w:val="0"/>
              <w:widowControl/>
              <w:numPr>
                <w:ilvl w:val="1"/>
                <w:numId w:val="8"/>
              </w:numPr>
              <w:suppressLineNumbers w:val="0"/>
              <w:tabs>
                <w:tab w:val="left" w:pos="720"/>
              </w:tabs>
              <w:overflowPunct w:val="0"/>
              <w:autoSpaceDE w:val="0"/>
              <w:autoSpaceDN w:val="0"/>
              <w:adjustRightInd w:val="0"/>
              <w:spacing w:before="0" w:beforeAutospacing="0" w:after="0" w:afterAutospacing="0"/>
              <w:ind w:right="0"/>
              <w:textAlignment w:val="baseline"/>
              <w:rPr>
                <w:rFonts w:hint="default"/>
                <w:bCs/>
                <w:szCs w:val="20"/>
              </w:rPr>
            </w:pPr>
            <w:r>
              <w:rPr>
                <w:rFonts w:hint="default"/>
                <w:bCs/>
                <w:szCs w:val="20"/>
              </w:rPr>
              <w:t xml:space="preserve">Study and specify, if beneficial the following enhancements to </w:t>
            </w:r>
            <w:bookmarkStart w:id="8" w:name="OLE_LINK26"/>
            <w:r>
              <w:rPr>
                <w:rFonts w:hint="default"/>
                <w:bCs/>
                <w:szCs w:val="20"/>
              </w:rPr>
              <w:t xml:space="preserve">reduce the necessary uplink and downlink signaling to complete an </w:t>
            </w:r>
            <w:bookmarkStart w:id="9" w:name="OLE_LINK14"/>
            <w:r>
              <w:rPr>
                <w:rFonts w:hint="default"/>
                <w:bCs/>
                <w:szCs w:val="20"/>
              </w:rPr>
              <w:t xml:space="preserve">Early Data Transmission </w:t>
            </w:r>
            <w:bookmarkEnd w:id="9"/>
            <w:r>
              <w:rPr>
                <w:rFonts w:hint="default"/>
                <w:bCs/>
                <w:szCs w:val="20"/>
              </w:rPr>
              <w:t xml:space="preserve">(EDT) transaction </w:t>
            </w:r>
            <w:bookmarkEnd w:id="8"/>
            <w:r>
              <w:rPr>
                <w:rFonts w:hint="default"/>
                <w:bCs/>
                <w:szCs w:val="20"/>
              </w:rPr>
              <w:t>[RAN2]:</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right="0"/>
              <w:textAlignment w:val="baseline"/>
              <w:rPr>
                <w:rFonts w:hint="default"/>
                <w:bCs/>
                <w:szCs w:val="20"/>
              </w:rPr>
            </w:pPr>
            <w:r>
              <w:rPr>
                <w:rFonts w:hint="default"/>
                <w:bCs/>
                <w:szCs w:val="20"/>
              </w:rPr>
              <w:t>Msg3 transmission without msg1/</w:t>
            </w:r>
            <w:r>
              <w:rPr>
                <w:rFonts w:hint="default"/>
                <w:szCs w:val="20"/>
              </w:rPr>
              <w:t xml:space="preserve"> </w:t>
            </w:r>
            <w:r>
              <w:rPr>
                <w:rFonts w:hint="default"/>
                <w:bCs/>
                <w:szCs w:val="20"/>
              </w:rPr>
              <w:t xml:space="preserve">Random Access Response (RAR) </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right="0"/>
              <w:textAlignment w:val="baseline"/>
              <w:rPr>
                <w:rFonts w:hint="default"/>
                <w:bCs/>
                <w:szCs w:val="20"/>
              </w:rPr>
            </w:pPr>
            <w:r>
              <w:rPr>
                <w:rFonts w:hint="default"/>
                <w:bCs/>
                <w:szCs w:val="20"/>
              </w:rPr>
              <w:t>Efficient delivery (reduced overhead) of msg4 / RRCEarlyDataComplete</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right="0"/>
              <w:textAlignment w:val="baseline"/>
              <w:rPr>
                <w:rFonts w:hint="default" w:cs="Times New Roman"/>
                <w:sz w:val="20"/>
                <w:szCs w:val="20"/>
                <w:vertAlign w:val="baseline"/>
                <w:lang w:val="en-US" w:eastAsia="zh-CN"/>
              </w:rPr>
            </w:pPr>
            <w:r>
              <w:rPr>
                <w:rFonts w:hint="default"/>
                <w:bCs/>
                <w:szCs w:val="20"/>
              </w:rPr>
              <w:t>Study and specify RRM requirement, if identified [RAN4]</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the following section, we will provide the detailed discussions for IoT NTN SAN demodulation requirements.</w:t>
      </w:r>
    </w:p>
    <w:p>
      <w:pPr>
        <w:widowControl w:val="0"/>
        <w:pBdr>
          <w:top w:val="single" w:color="auto" w:sz="12" w:space="3"/>
        </w:pBdr>
        <w:spacing w:beforeLines="0" w:afterLines="0"/>
        <w:jc w:val="left"/>
        <w:outlineLvl w:val="0"/>
        <w:rPr>
          <w:rFonts w:hint="default" w:eastAsia="宋体" w:cs="Times New Roman"/>
          <w:b w:val="0"/>
          <w:bCs w:val="0"/>
          <w:kern w:val="0"/>
          <w:sz w:val="20"/>
          <w:szCs w:val="20"/>
          <w:highlight w:val="none"/>
          <w:lang w:val="en-US" w:eastAsia="zh-CN"/>
        </w:rPr>
      </w:pPr>
      <w:r>
        <w:rPr>
          <w:rFonts w:hint="eastAsia"/>
          <w:b/>
          <w:kern w:val="0"/>
          <w:sz w:val="24"/>
          <w:szCs w:val="24"/>
        </w:rPr>
        <w:t>2</w:t>
      </w:r>
      <w:r>
        <w:rPr>
          <w:rFonts w:hint="eastAsia"/>
          <w:b/>
          <w:kern w:val="0"/>
          <w:sz w:val="24"/>
          <w:szCs w:val="24"/>
          <w:lang w:val="en-US" w:eastAsia="zh-CN"/>
        </w:rPr>
        <w:t>. Proposed work plan</w:t>
      </w:r>
    </w:p>
    <w:p>
      <w:pPr>
        <w:snapToGrid w:val="0"/>
        <w:textAlignment w:val="baseline"/>
        <w:rPr>
          <w:rFonts w:eastAsiaTheme="minorEastAsia"/>
          <w:lang w:eastAsia="zh-CN"/>
        </w:rPr>
      </w:pPr>
      <w:r>
        <w:rPr>
          <w:rFonts w:hint="eastAsia" w:eastAsiaTheme="minorEastAsia"/>
          <w:lang w:eastAsia="zh-CN"/>
        </w:rPr>
        <w:t>A</w:t>
      </w:r>
      <w:r>
        <w:rPr>
          <w:rFonts w:eastAsiaTheme="minorEastAsia"/>
          <w:lang w:eastAsia="zh-CN"/>
        </w:rPr>
        <w:t xml:space="preserve">ccording to the approved WID, the Perf part of this WI targets </w:t>
      </w:r>
      <w:r>
        <w:rPr>
          <w:rFonts w:hint="eastAsia" w:eastAsiaTheme="minorEastAsia"/>
          <w:lang w:val="en-US" w:eastAsia="zh-CN"/>
        </w:rPr>
        <w:t>Sep</w:t>
      </w:r>
      <w:r>
        <w:rPr>
          <w:rFonts w:eastAsiaTheme="minorEastAsia"/>
          <w:lang w:eastAsia="zh-CN"/>
        </w:rPr>
        <w:t xml:space="preserve"> 2025, which means RAN4 Demod part only has 2 meetings. Considering the above, the following work plan is proposed:</w:t>
      </w:r>
    </w:p>
    <w:p>
      <w:pPr>
        <w:pStyle w:val="36"/>
        <w:numPr>
          <w:ilvl w:val="0"/>
          <w:numId w:val="9"/>
        </w:numPr>
        <w:snapToGrid w:val="0"/>
        <w:ind w:firstLineChars="0"/>
        <w:textAlignment w:val="baseline"/>
        <w:rPr>
          <w:b/>
          <w:u w:val="single"/>
          <w:lang w:eastAsia="zh-CN"/>
        </w:rPr>
      </w:pPr>
      <w:r>
        <w:rPr>
          <w:rFonts w:eastAsiaTheme="minorEastAsia"/>
          <w:lang w:eastAsia="zh-CN"/>
        </w:rPr>
        <w:t>RAN4#11</w:t>
      </w:r>
      <w:r>
        <w:rPr>
          <w:rFonts w:hint="eastAsia" w:eastAsiaTheme="minorEastAsia"/>
          <w:lang w:val="en-US" w:eastAsia="zh-CN"/>
        </w:rPr>
        <w:t>5</w:t>
      </w:r>
      <w:r>
        <w:rPr>
          <w:rFonts w:eastAsiaTheme="minorEastAsia"/>
          <w:lang w:eastAsia="zh-CN"/>
        </w:rPr>
        <w:t xml:space="preserve">: </w:t>
      </w:r>
    </w:p>
    <w:p>
      <w:pPr>
        <w:pStyle w:val="36"/>
        <w:numPr>
          <w:ilvl w:val="1"/>
          <w:numId w:val="9"/>
        </w:numPr>
        <w:snapToGrid w:val="0"/>
        <w:ind w:firstLineChars="0"/>
        <w:textAlignment w:val="baseline"/>
        <w:rPr>
          <w:lang w:eastAsia="zh-CN"/>
        </w:rPr>
      </w:pPr>
      <w:r>
        <w:rPr>
          <w:rFonts w:hint="eastAsia"/>
          <w:lang w:eastAsia="zh-CN"/>
        </w:rPr>
        <w:t>A</w:t>
      </w:r>
      <w:r>
        <w:rPr>
          <w:lang w:eastAsia="zh-CN"/>
        </w:rPr>
        <w:t>gree on the test scope, test parameters</w:t>
      </w:r>
      <w:r>
        <w:rPr>
          <w:rFonts w:hint="eastAsia"/>
          <w:lang w:val="en-US" w:eastAsia="zh-CN"/>
        </w:rPr>
        <w:t>.</w:t>
      </w:r>
    </w:p>
    <w:p>
      <w:pPr>
        <w:pStyle w:val="36"/>
        <w:numPr>
          <w:ilvl w:val="0"/>
          <w:numId w:val="9"/>
        </w:numPr>
        <w:snapToGrid w:val="0"/>
        <w:ind w:firstLineChars="0"/>
        <w:textAlignment w:val="baseline"/>
        <w:rPr>
          <w:b/>
          <w:u w:val="single"/>
          <w:lang w:eastAsia="zh-CN"/>
        </w:rPr>
      </w:pPr>
      <w:r>
        <w:rPr>
          <w:rFonts w:eastAsiaTheme="minorEastAsia"/>
          <w:lang w:eastAsia="zh-CN"/>
        </w:rPr>
        <w:t>RAN4#11</w:t>
      </w:r>
      <w:r>
        <w:rPr>
          <w:rFonts w:hint="eastAsia" w:eastAsiaTheme="minorEastAsia"/>
          <w:lang w:val="en-US" w:eastAsia="zh-CN"/>
        </w:rPr>
        <w:t>6</w:t>
      </w:r>
      <w:r>
        <w:rPr>
          <w:rFonts w:eastAsiaTheme="minorEastAsia"/>
          <w:lang w:eastAsia="zh-CN"/>
        </w:rPr>
        <w:t>:</w:t>
      </w:r>
    </w:p>
    <w:p>
      <w:pPr>
        <w:pStyle w:val="36"/>
        <w:numPr>
          <w:ilvl w:val="1"/>
          <w:numId w:val="9"/>
        </w:numPr>
        <w:snapToGrid w:val="0"/>
        <w:ind w:firstLineChars="0"/>
        <w:textAlignment w:val="baseline"/>
        <w:rPr>
          <w:lang w:eastAsia="zh-CN"/>
        </w:rPr>
      </w:pPr>
      <w:r>
        <w:rPr>
          <w:lang w:eastAsia="zh-CN"/>
        </w:rPr>
        <w:t>Collection of simulation results.</w:t>
      </w:r>
    </w:p>
    <w:p>
      <w:pPr>
        <w:pStyle w:val="36"/>
        <w:numPr>
          <w:ilvl w:val="1"/>
          <w:numId w:val="9"/>
        </w:numPr>
        <w:snapToGrid w:val="0"/>
        <w:ind w:firstLineChars="0"/>
        <w:textAlignment w:val="baseline"/>
        <w:rPr>
          <w:lang w:eastAsia="zh-CN"/>
        </w:rPr>
      </w:pPr>
      <w:r>
        <w:rPr>
          <w:rFonts w:hint="eastAsia"/>
          <w:lang w:eastAsia="zh-CN"/>
        </w:rPr>
        <w:t>D</w:t>
      </w:r>
      <w:r>
        <w:rPr>
          <w:lang w:eastAsia="zh-CN"/>
        </w:rPr>
        <w:t>raft CR endorsed, and big CR agreed.</w:t>
      </w:r>
    </w:p>
    <w:p>
      <w:pPr>
        <w:snapToGrid w:val="0"/>
        <w:textAlignment w:val="baseline"/>
        <w:rPr>
          <w:rFonts w:eastAsiaTheme="minorEastAsia"/>
          <w:b/>
          <w:i/>
          <w:sz w:val="21"/>
          <w:szCs w:val="21"/>
          <w:lang w:eastAsia="zh-CN"/>
        </w:rPr>
      </w:pPr>
      <w:r>
        <w:rPr>
          <w:rFonts w:eastAsiaTheme="minorEastAsia"/>
          <w:b/>
          <w:i/>
          <w:sz w:val="21"/>
          <w:szCs w:val="21"/>
          <w:lang w:eastAsia="zh-CN"/>
        </w:rPr>
        <w:t xml:space="preserve">Proposal 1: As the WI Perf. Part targets </w:t>
      </w:r>
      <w:r>
        <w:rPr>
          <w:rFonts w:hint="eastAsia" w:eastAsiaTheme="minorEastAsia"/>
          <w:b/>
          <w:i/>
          <w:sz w:val="21"/>
          <w:szCs w:val="21"/>
          <w:lang w:val="en-US" w:eastAsia="zh-CN"/>
        </w:rPr>
        <w:t>Sep</w:t>
      </w:r>
      <w:r>
        <w:rPr>
          <w:rFonts w:eastAsiaTheme="minorEastAsia"/>
          <w:b/>
          <w:i/>
          <w:sz w:val="21"/>
          <w:szCs w:val="21"/>
          <w:lang w:eastAsia="zh-CN"/>
        </w:rPr>
        <w:t xml:space="preserve"> 2025, the following work plan is proposed:</w:t>
      </w:r>
    </w:p>
    <w:p>
      <w:pPr>
        <w:pStyle w:val="36"/>
        <w:numPr>
          <w:ilvl w:val="0"/>
          <w:numId w:val="9"/>
        </w:numPr>
        <w:snapToGrid w:val="0"/>
        <w:ind w:firstLineChars="0"/>
        <w:textAlignment w:val="baseline"/>
        <w:rPr>
          <w:b/>
          <w:i/>
          <w:sz w:val="21"/>
          <w:szCs w:val="21"/>
          <w:u w:val="single"/>
          <w:lang w:eastAsia="zh-CN"/>
        </w:rPr>
      </w:pPr>
      <w:r>
        <w:rPr>
          <w:rFonts w:eastAsiaTheme="minorEastAsia"/>
          <w:b/>
          <w:i/>
          <w:sz w:val="21"/>
          <w:szCs w:val="21"/>
          <w:lang w:eastAsia="zh-CN"/>
        </w:rPr>
        <w:t>RAN4#11</w:t>
      </w:r>
      <w:r>
        <w:rPr>
          <w:rFonts w:hint="eastAsia" w:eastAsiaTheme="minorEastAsia"/>
          <w:b/>
          <w:i/>
          <w:sz w:val="21"/>
          <w:szCs w:val="21"/>
          <w:lang w:val="en-US" w:eastAsia="zh-CN"/>
        </w:rPr>
        <w:t>5</w:t>
      </w:r>
      <w:r>
        <w:rPr>
          <w:rFonts w:eastAsiaTheme="minorEastAsia"/>
          <w:b/>
          <w:i/>
          <w:sz w:val="21"/>
          <w:szCs w:val="21"/>
          <w:lang w:eastAsia="zh-CN"/>
        </w:rPr>
        <w:t xml:space="preserve">: </w:t>
      </w:r>
    </w:p>
    <w:p>
      <w:pPr>
        <w:pStyle w:val="36"/>
        <w:numPr>
          <w:ilvl w:val="1"/>
          <w:numId w:val="9"/>
        </w:numPr>
        <w:snapToGrid w:val="0"/>
        <w:ind w:firstLineChars="0"/>
        <w:textAlignment w:val="baseline"/>
        <w:rPr>
          <w:b/>
          <w:i/>
          <w:sz w:val="21"/>
          <w:szCs w:val="21"/>
          <w:lang w:eastAsia="zh-CN"/>
        </w:rPr>
      </w:pPr>
      <w:r>
        <w:rPr>
          <w:rFonts w:hint="eastAsia"/>
          <w:b/>
          <w:i/>
          <w:sz w:val="21"/>
          <w:szCs w:val="21"/>
          <w:lang w:eastAsia="zh-CN"/>
        </w:rPr>
        <w:t>A</w:t>
      </w:r>
      <w:r>
        <w:rPr>
          <w:b/>
          <w:i/>
          <w:sz w:val="21"/>
          <w:szCs w:val="21"/>
          <w:lang w:eastAsia="zh-CN"/>
        </w:rPr>
        <w:t>gree on the test scope, test parameters</w:t>
      </w:r>
      <w:r>
        <w:rPr>
          <w:rFonts w:hint="eastAsia"/>
          <w:b/>
          <w:i/>
          <w:sz w:val="21"/>
          <w:szCs w:val="21"/>
          <w:lang w:val="en-US" w:eastAsia="zh-CN"/>
        </w:rPr>
        <w:t>.</w:t>
      </w:r>
    </w:p>
    <w:p>
      <w:pPr>
        <w:pStyle w:val="36"/>
        <w:numPr>
          <w:ilvl w:val="0"/>
          <w:numId w:val="0"/>
        </w:numPr>
        <w:snapToGrid w:val="0"/>
        <w:textAlignment w:val="baseline"/>
        <w:rPr>
          <w:b/>
          <w:i/>
          <w:sz w:val="21"/>
          <w:szCs w:val="21"/>
          <w:lang w:eastAsia="zh-CN"/>
        </w:rPr>
      </w:pPr>
    </w:p>
    <w:p>
      <w:pPr>
        <w:pStyle w:val="36"/>
        <w:numPr>
          <w:ilvl w:val="0"/>
          <w:numId w:val="9"/>
        </w:numPr>
        <w:snapToGrid w:val="0"/>
        <w:ind w:firstLineChars="0"/>
        <w:textAlignment w:val="baseline"/>
        <w:rPr>
          <w:b/>
          <w:i/>
          <w:sz w:val="21"/>
          <w:szCs w:val="21"/>
          <w:u w:val="single"/>
          <w:lang w:eastAsia="zh-CN"/>
        </w:rPr>
      </w:pPr>
      <w:r>
        <w:rPr>
          <w:rFonts w:eastAsiaTheme="minorEastAsia"/>
          <w:b/>
          <w:i/>
          <w:sz w:val="21"/>
          <w:szCs w:val="21"/>
          <w:lang w:eastAsia="zh-CN"/>
        </w:rPr>
        <w:t>RAN4#11</w:t>
      </w:r>
      <w:r>
        <w:rPr>
          <w:rFonts w:hint="eastAsia" w:eastAsiaTheme="minorEastAsia"/>
          <w:b/>
          <w:i/>
          <w:sz w:val="21"/>
          <w:szCs w:val="21"/>
          <w:lang w:val="en-US" w:eastAsia="zh-CN"/>
        </w:rPr>
        <w:t>6</w:t>
      </w:r>
      <w:r>
        <w:rPr>
          <w:rFonts w:eastAsiaTheme="minorEastAsia"/>
          <w:b/>
          <w:i/>
          <w:sz w:val="21"/>
          <w:szCs w:val="21"/>
          <w:lang w:eastAsia="zh-CN"/>
        </w:rPr>
        <w:t>:</w:t>
      </w:r>
    </w:p>
    <w:p>
      <w:pPr>
        <w:pStyle w:val="36"/>
        <w:numPr>
          <w:ilvl w:val="1"/>
          <w:numId w:val="9"/>
        </w:numPr>
        <w:snapToGrid w:val="0"/>
        <w:ind w:firstLineChars="0"/>
        <w:textAlignment w:val="baseline"/>
        <w:rPr>
          <w:b/>
          <w:i/>
          <w:sz w:val="21"/>
          <w:szCs w:val="21"/>
          <w:lang w:eastAsia="zh-CN"/>
        </w:rPr>
      </w:pPr>
      <w:r>
        <w:rPr>
          <w:b/>
          <w:i/>
          <w:sz w:val="21"/>
          <w:szCs w:val="21"/>
          <w:lang w:eastAsia="zh-CN"/>
        </w:rPr>
        <w:t>Collection of simulation results.</w:t>
      </w:r>
    </w:p>
    <w:p>
      <w:pPr>
        <w:pStyle w:val="36"/>
        <w:numPr>
          <w:ilvl w:val="1"/>
          <w:numId w:val="9"/>
        </w:numPr>
        <w:snapToGrid w:val="0"/>
        <w:ind w:firstLineChars="0"/>
        <w:textAlignment w:val="baseline"/>
        <w:rPr>
          <w:rFonts w:hint="default" w:cs="Times New Roman"/>
          <w:sz w:val="21"/>
          <w:szCs w:val="21"/>
          <w:lang w:val="en-US" w:eastAsia="zh-CN"/>
        </w:rPr>
      </w:pPr>
      <w:r>
        <w:rPr>
          <w:rFonts w:hint="eastAsia"/>
          <w:b/>
          <w:i/>
          <w:sz w:val="21"/>
          <w:szCs w:val="21"/>
          <w:lang w:eastAsia="zh-CN"/>
        </w:rPr>
        <w:t>D</w:t>
      </w:r>
      <w:r>
        <w:rPr>
          <w:b/>
          <w:i/>
          <w:sz w:val="21"/>
          <w:szCs w:val="21"/>
          <w:lang w:eastAsia="zh-CN"/>
        </w:rPr>
        <w:t>raft CR endorsed, and big CR agreed.</w:t>
      </w: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lang w:val="en-US" w:eastAsia="zh-CN"/>
        </w:rPr>
        <w:t>3</w:t>
      </w:r>
      <w:r>
        <w:rPr>
          <w:rFonts w:hint="eastAsia"/>
          <w:b/>
          <w:kern w:val="0"/>
          <w:sz w:val="24"/>
          <w:szCs w:val="24"/>
        </w:rPr>
        <w:t xml:space="preserve"> </w:t>
      </w:r>
      <w:r>
        <w:rPr>
          <w:b/>
          <w:kern w:val="0"/>
          <w:sz w:val="24"/>
          <w:szCs w:val="24"/>
        </w:rPr>
        <w:t>Discussion</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1"/>
          <w:szCs w:val="21"/>
          <w:highlight w:val="none"/>
          <w:lang w:val="en-US" w:eastAsia="zh-CN"/>
        </w:rPr>
        <w:t>I</w:t>
      </w:r>
      <w:r>
        <w:rPr>
          <w:rFonts w:hint="default" w:cs="Times New Roman"/>
          <w:b w:val="0"/>
          <w:bCs w:val="0"/>
          <w:kern w:val="0"/>
          <w:sz w:val="21"/>
          <w:szCs w:val="21"/>
          <w:highlight w:val="none"/>
          <w:lang w:val="en-US" w:eastAsia="zh-CN"/>
        </w:rPr>
        <w:t>oT-NTN has been specified in 3GPP RAN Rel-17, since then been optimised in Rel-18 and commercial deployment are ongoing at the moment. Based on real deployment or deployment plans further evolution of IoT-NTN is neede</w:t>
      </w:r>
      <w:r>
        <w:rPr>
          <w:rFonts w:hint="eastAsia" w:cs="Times New Roman"/>
          <w:b w:val="0"/>
          <w:bCs w:val="0"/>
          <w:kern w:val="0"/>
          <w:sz w:val="21"/>
          <w:szCs w:val="21"/>
          <w:highlight w:val="none"/>
          <w:lang w:val="en-US" w:eastAsia="zh-CN"/>
        </w:rPr>
        <w:t>d.  Currently, NB-IoT NTN is already being deployed live at this very moment. In these early and upcoming deployments, it is clearly emerging that IoT-NTN, in particular NB-IoT, will have to support massive capacity in terms of number and types of UE, some of which with worse characteristics than others (e.g. low cost devices, wearables, etc). Multiplexing of UEs by usage of orthogonal cover codes (OCC) for NPUSCH format 1 and NPRACH should therefore be studied and if beneficial being specified.</w:t>
      </w:r>
    </w:p>
    <w:p>
      <w:pPr>
        <w:widowControl w:val="0"/>
        <w:spacing w:beforeLines="100" w:afterLines="0" w:line="240" w:lineRule="auto"/>
        <w:jc w:val="both"/>
        <w:rPr>
          <w:rFonts w:hint="eastAsia"/>
          <w:b/>
          <w:bCs/>
          <w:i w:val="0"/>
          <w:iCs w:val="0"/>
          <w:szCs w:val="21"/>
          <w:lang w:val="en-US" w:eastAsia="zh-CN"/>
        </w:rPr>
      </w:pPr>
      <w:r>
        <w:rPr>
          <w:rFonts w:hint="eastAsia"/>
          <w:b/>
          <w:bCs/>
          <w:i w:val="0"/>
          <w:iCs w:val="0"/>
          <w:szCs w:val="21"/>
          <w:lang w:val="en-US" w:eastAsia="zh-CN"/>
        </w:rPr>
        <w:t>NPUSCH format 1 demodulation requirements</w:t>
      </w:r>
    </w:p>
    <w:p>
      <w:pPr>
        <w:widowControl w:val="0"/>
        <w:spacing w:beforeLines="100" w:afterLines="0" w:line="240" w:lineRule="auto"/>
        <w:jc w:val="both"/>
        <w:rPr>
          <w:rFonts w:hint="eastAsia"/>
          <w:b w:val="0"/>
          <w:bCs w:val="0"/>
          <w:i w:val="0"/>
          <w:iCs w:val="0"/>
          <w:szCs w:val="21"/>
          <w:lang w:val="en-US" w:eastAsia="zh-CN"/>
        </w:rPr>
      </w:pPr>
      <w:r>
        <w:rPr>
          <w:rFonts w:hint="eastAsia"/>
          <w:b w:val="0"/>
          <w:bCs w:val="0"/>
          <w:i w:val="0"/>
          <w:iCs w:val="0"/>
          <w:szCs w:val="21"/>
          <w:lang w:val="en-US" w:eastAsia="zh-CN"/>
        </w:rPr>
        <w:t>Currently, NPUSCH format 1 supports single tone with 3.75kHz and 15kHz SCS, and multiple tones only with 15kHz SCS. In WID[1], it is clearly stated that a single 3.75kHz or 15kHz subcarrier shall be considered. And multi-tone with15kHz should also be considered. However, from RAN1</w:t>
      </w:r>
      <w:r>
        <w:rPr>
          <w:rFonts w:hint="default"/>
          <w:b w:val="0"/>
          <w:bCs w:val="0"/>
          <w:i w:val="0"/>
          <w:iCs w:val="0"/>
          <w:szCs w:val="21"/>
          <w:lang w:val="en-US" w:eastAsia="zh-CN"/>
        </w:rPr>
        <w:t>’</w:t>
      </w:r>
      <w:r>
        <w:rPr>
          <w:rFonts w:hint="eastAsia"/>
          <w:b w:val="0"/>
          <w:bCs w:val="0"/>
          <w:i w:val="0"/>
          <w:iCs w:val="0"/>
          <w:szCs w:val="21"/>
          <w:lang w:val="en-US" w:eastAsia="zh-CN"/>
        </w:rPr>
        <w:t>s conclusion, multi-tone with 15kHz is low priority. Therefore, from our understanding, RAN4 shall discuss whether need to define multi-tone demodulation requirements at first.</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Multi-tone with 15kHz is low priority based on RAN1</w:t>
      </w:r>
      <w:r>
        <w:rPr>
          <w:rFonts w:hint="default"/>
          <w:b/>
          <w:bCs/>
          <w:i/>
          <w:iCs/>
          <w:szCs w:val="21"/>
          <w:lang w:val="en-US" w:eastAsia="zh-CN"/>
        </w:rPr>
        <w:t>’</w:t>
      </w:r>
      <w:r>
        <w:rPr>
          <w:rFonts w:hint="eastAsia"/>
          <w:b/>
          <w:bCs/>
          <w:i/>
          <w:iCs/>
          <w:szCs w:val="21"/>
          <w:lang w:val="en-US" w:eastAsia="zh-CN"/>
        </w:rPr>
        <w:t>s conclusion.</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Propose 2. Propose to define only single tone with both 3.75kHz and 15kHz SCS demodulation requirements. </w:t>
      </w:r>
    </w:p>
    <w:p>
      <w:pPr>
        <w:widowControl w:val="0"/>
        <w:spacing w:beforeLines="100" w:afterLines="0" w:line="240" w:lineRule="auto"/>
        <w:jc w:val="both"/>
        <w:rPr>
          <w:rFonts w:hint="default"/>
          <w:b w:val="0"/>
          <w:bCs w:val="0"/>
          <w:i w:val="0"/>
          <w:iCs w:val="0"/>
          <w:szCs w:val="21"/>
          <w:lang w:val="en-US" w:eastAsia="zh-CN"/>
        </w:rPr>
      </w:pPr>
      <w:r>
        <w:rPr>
          <w:rFonts w:hint="eastAsia"/>
          <w:b w:val="0"/>
          <w:bCs w:val="0"/>
          <w:i w:val="0"/>
          <w:iCs w:val="0"/>
          <w:szCs w:val="21"/>
          <w:lang w:val="en-US" w:eastAsia="zh-CN"/>
        </w:rPr>
        <w:t>As illustrated in WID[1], in order to improve coverage enhancement, OCC scheme is allowed to multiplex multiple UEs. Code division multiplexing assigns unique orthogonal codes to different users or data streams so that they are transmitted on the same frequency band, but the receiver can separate their respective signals through correlation operations, etc. From the perspective of baseband reception, it is necessary to first perform channel estimation for each user through DMRS, and than perform decoding and other steps. Therefore, the DMRS design of division multiplexing is crucial for multi-users multiplexing scenarios. In addition, based on the study of RAN1, currently, two potential options are considered, e.g., TDM of DMRS and CDM of DMRS. For TDM of DMRS, which means that the time domain of locations of DMRS for different UEs are different. No OCC is applied for the DMRS of different UEs. And the CDM of DMRS, the time domain locations of DMRS for different UEs are the same. Different OCCs are applied for the DMRS of different UEs. Currently, RAN1 agreed to use CDM of DMRS to single tone with 15kHz, and TDM of DMRS to single tone with 3.75kHz. Therefore, we propose to reuse RAN1</w:t>
      </w:r>
      <w:r>
        <w:rPr>
          <w:rFonts w:hint="default"/>
          <w:b w:val="0"/>
          <w:bCs w:val="0"/>
          <w:i w:val="0"/>
          <w:iCs w:val="0"/>
          <w:szCs w:val="21"/>
          <w:lang w:val="en-US" w:eastAsia="zh-CN"/>
        </w:rPr>
        <w:t>’</w:t>
      </w:r>
      <w:r>
        <w:rPr>
          <w:rFonts w:hint="eastAsia"/>
          <w:b w:val="0"/>
          <w:bCs w:val="0"/>
          <w:i w:val="0"/>
          <w:iCs w:val="0"/>
          <w:szCs w:val="21"/>
          <w:lang w:val="en-US" w:eastAsia="zh-CN"/>
        </w:rPr>
        <w:t xml:space="preserve">s conclusion to define demodulation requirements.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Propose 3. Propose to consider CDM of DMRS to single tone with 15kHz and TDM of DMRS to single tone with 3.75kHz if necessary. </w:t>
      </w:r>
    </w:p>
    <w:p>
      <w:pPr>
        <w:widowControl w:val="0"/>
        <w:spacing w:beforeLines="100" w:afterLines="0" w:line="240" w:lineRule="auto"/>
        <w:jc w:val="both"/>
        <w:rPr>
          <w:rFonts w:hint="eastAsia" w:cs="Arial"/>
          <w:lang w:val="en-US" w:eastAsia="zh-CN"/>
        </w:rPr>
      </w:pPr>
      <w:r>
        <w:rPr>
          <w:rFonts w:hint="eastAsia"/>
          <w:b w:val="0"/>
          <w:bCs w:val="0"/>
          <w:i w:val="0"/>
          <w:iCs w:val="0"/>
          <w:szCs w:val="21"/>
          <w:lang w:val="en-US" w:eastAsia="zh-CN"/>
        </w:rPr>
        <w:t xml:space="preserve">Further, the legacy demodulation requirements only defined with limited test cases, e.g., 1R and 2R, </w:t>
      </w:r>
      <w:r>
        <w:rPr>
          <w:rFonts w:hint="eastAsia" w:cs="Arial"/>
          <w:lang w:eastAsia="zh-CN"/>
        </w:rPr>
        <w:t>N</w:t>
      </w:r>
      <w:r>
        <w:rPr>
          <w:rFonts w:cs="Arial"/>
          <w:lang w:eastAsia="zh-CN"/>
        </w:rPr>
        <w:t>TN TDLA100-1</w:t>
      </w:r>
      <w:r>
        <w:rPr>
          <w:rFonts w:hint="eastAsia" w:cs="Arial"/>
          <w:lang w:val="en-US" w:eastAsia="zh-CN"/>
        </w:rPr>
        <w:t xml:space="preserve"> and </w:t>
      </w:r>
      <w:r>
        <w:rPr>
          <w:rFonts w:hint="eastAsia" w:cs="Arial"/>
          <w:lang w:eastAsia="zh-CN"/>
        </w:rPr>
        <w:t>N</w:t>
      </w:r>
      <w:r>
        <w:rPr>
          <w:rFonts w:cs="Arial"/>
          <w:lang w:eastAsia="zh-CN"/>
        </w:rPr>
        <w:t>TN TDLC5-1</w:t>
      </w:r>
      <w:r>
        <w:rPr>
          <w:rFonts w:hint="eastAsia" w:cs="Arial"/>
          <w:lang w:val="en-US" w:eastAsia="zh-CN"/>
        </w:rPr>
        <w:t xml:space="preserve">.Therefore, we propose to reuse same same antenna configuration and propagation conditions to define R-19 demodulation requirements.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Propose 4. Propose to reuse legacy antenna configuration (e.g., 1T1R and 1T2R) and propagation conditions (e.g., NTN TDLA100-1 and NTN TDLC5-1).</w:t>
      </w: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eastAsia"/>
          <w:b/>
          <w:bCs/>
          <w:i w:val="0"/>
          <w:iCs w:val="0"/>
          <w:szCs w:val="21"/>
          <w:lang w:val="en-US" w:eastAsia="zh-CN"/>
        </w:rPr>
      </w:pPr>
      <w:r>
        <w:rPr>
          <w:rFonts w:hint="eastAsia"/>
          <w:b/>
          <w:bCs/>
          <w:i w:val="0"/>
          <w:iCs w:val="0"/>
          <w:szCs w:val="21"/>
          <w:lang w:val="en-US" w:eastAsia="zh-CN"/>
        </w:rPr>
        <w:t>NPRACH demodulation requirement</w:t>
      </w:r>
    </w:p>
    <w:p>
      <w:pPr>
        <w:rPr>
          <w:rFonts w:hint="default"/>
          <w:lang w:val="en-US" w:eastAsia="zh-CN"/>
        </w:rPr>
      </w:pPr>
      <w:r>
        <w:rPr>
          <w:rFonts w:hint="eastAsia"/>
          <w:lang w:val="en-US" w:eastAsia="zh-CN"/>
        </w:rPr>
        <w:t>Considering that RAN1 has following conclusion in previous meeting, we propose to no need to consider NPRACH with OCC test case in Rel-19.</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b/>
                <w:bCs/>
                <w:i/>
                <w:iCs/>
                <w:szCs w:val="21"/>
                <w:vertAlign w:val="baseline"/>
                <w:lang w:val="en-US" w:eastAsia="zh-CN"/>
              </w:rPr>
            </w:pPr>
            <w:r>
              <w:rPr>
                <w:rFonts w:hint="default"/>
                <w:szCs w:val="20"/>
              </w:rPr>
              <w:drawing>
                <wp:inline distT="0" distB="0" distL="114300" distR="114300">
                  <wp:extent cx="6133465" cy="504190"/>
                  <wp:effectExtent l="0" t="0" r="825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33465" cy="504190"/>
                          </a:xfrm>
                          <a:prstGeom prst="rect">
                            <a:avLst/>
                          </a:prstGeom>
                          <a:noFill/>
                          <a:ln>
                            <a:noFill/>
                          </a:ln>
                        </pic:spPr>
                      </pic:pic>
                    </a:graphicData>
                  </a:graphic>
                </wp:inline>
              </w:drawing>
            </w:r>
          </w:p>
        </w:tc>
      </w:tr>
    </w:tbl>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Propose 5. Propose to do not define NPRACH with OCC demodulation requirements.</w:t>
      </w:r>
    </w:p>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the MIMO layers related to 6Rx,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Multi-tone with 15khz is low priority based on RAN1</w:t>
      </w:r>
      <w:r>
        <w:rPr>
          <w:rFonts w:hint="default"/>
          <w:b/>
          <w:bCs/>
          <w:i/>
          <w:iCs/>
          <w:szCs w:val="21"/>
          <w:lang w:val="en-US" w:eastAsia="zh-CN"/>
        </w:rPr>
        <w:t>’</w:t>
      </w:r>
      <w:r>
        <w:rPr>
          <w:rFonts w:hint="eastAsia"/>
          <w:b/>
          <w:bCs/>
          <w:i/>
          <w:iCs/>
          <w:szCs w:val="21"/>
          <w:lang w:val="en-US" w:eastAsia="zh-CN"/>
        </w:rPr>
        <w:t>s conclusion.</w:t>
      </w:r>
    </w:p>
    <w:p>
      <w:pPr>
        <w:snapToGrid w:val="0"/>
        <w:textAlignment w:val="baseline"/>
        <w:rPr>
          <w:rFonts w:eastAsiaTheme="minorEastAsia"/>
          <w:b/>
          <w:i/>
          <w:sz w:val="21"/>
          <w:szCs w:val="21"/>
          <w:lang w:eastAsia="zh-CN"/>
        </w:rPr>
      </w:pPr>
      <w:r>
        <w:rPr>
          <w:rFonts w:eastAsiaTheme="minorEastAsia"/>
          <w:b/>
          <w:i/>
          <w:sz w:val="21"/>
          <w:szCs w:val="21"/>
          <w:lang w:eastAsia="zh-CN"/>
        </w:rPr>
        <w:t xml:space="preserve">Proposal 1: As the WI Perf. Part targets </w:t>
      </w:r>
      <w:r>
        <w:rPr>
          <w:rFonts w:hint="eastAsia" w:eastAsiaTheme="minorEastAsia"/>
          <w:b/>
          <w:i/>
          <w:sz w:val="21"/>
          <w:szCs w:val="21"/>
          <w:lang w:val="en-US" w:eastAsia="zh-CN"/>
        </w:rPr>
        <w:t>Sep</w:t>
      </w:r>
      <w:r>
        <w:rPr>
          <w:rFonts w:eastAsiaTheme="minorEastAsia"/>
          <w:b/>
          <w:i/>
          <w:sz w:val="21"/>
          <w:szCs w:val="21"/>
          <w:lang w:eastAsia="zh-CN"/>
        </w:rPr>
        <w:t xml:space="preserve"> 2025, the following work plan is proposed:</w:t>
      </w:r>
    </w:p>
    <w:p>
      <w:pPr>
        <w:pStyle w:val="36"/>
        <w:numPr>
          <w:ilvl w:val="0"/>
          <w:numId w:val="9"/>
        </w:numPr>
        <w:snapToGrid w:val="0"/>
        <w:ind w:firstLineChars="0"/>
        <w:textAlignment w:val="baseline"/>
        <w:rPr>
          <w:b/>
          <w:i/>
          <w:sz w:val="21"/>
          <w:szCs w:val="21"/>
          <w:u w:val="single"/>
          <w:lang w:eastAsia="zh-CN"/>
        </w:rPr>
      </w:pPr>
      <w:r>
        <w:rPr>
          <w:rFonts w:eastAsiaTheme="minorEastAsia"/>
          <w:b/>
          <w:i/>
          <w:sz w:val="21"/>
          <w:szCs w:val="21"/>
          <w:lang w:eastAsia="zh-CN"/>
        </w:rPr>
        <w:t>RAN4#11</w:t>
      </w:r>
      <w:r>
        <w:rPr>
          <w:rFonts w:hint="eastAsia" w:eastAsiaTheme="minorEastAsia"/>
          <w:b/>
          <w:i/>
          <w:sz w:val="21"/>
          <w:szCs w:val="21"/>
          <w:lang w:val="en-US" w:eastAsia="zh-CN"/>
        </w:rPr>
        <w:t>5</w:t>
      </w:r>
      <w:r>
        <w:rPr>
          <w:rFonts w:eastAsiaTheme="minorEastAsia"/>
          <w:b/>
          <w:i/>
          <w:sz w:val="21"/>
          <w:szCs w:val="21"/>
          <w:lang w:eastAsia="zh-CN"/>
        </w:rPr>
        <w:t xml:space="preserve">: </w:t>
      </w:r>
    </w:p>
    <w:p>
      <w:pPr>
        <w:pStyle w:val="36"/>
        <w:numPr>
          <w:ilvl w:val="1"/>
          <w:numId w:val="9"/>
        </w:numPr>
        <w:snapToGrid w:val="0"/>
        <w:ind w:firstLineChars="0"/>
        <w:textAlignment w:val="baseline"/>
        <w:rPr>
          <w:b/>
          <w:i/>
          <w:sz w:val="21"/>
          <w:szCs w:val="21"/>
          <w:lang w:eastAsia="zh-CN"/>
        </w:rPr>
      </w:pPr>
      <w:r>
        <w:rPr>
          <w:rFonts w:hint="eastAsia"/>
          <w:b/>
          <w:i/>
          <w:sz w:val="21"/>
          <w:szCs w:val="21"/>
          <w:lang w:eastAsia="zh-CN"/>
        </w:rPr>
        <w:t>A</w:t>
      </w:r>
      <w:r>
        <w:rPr>
          <w:b/>
          <w:i/>
          <w:sz w:val="21"/>
          <w:szCs w:val="21"/>
          <w:lang w:eastAsia="zh-CN"/>
        </w:rPr>
        <w:t>gree on the test scope, test parameters</w:t>
      </w:r>
      <w:r>
        <w:rPr>
          <w:rFonts w:hint="eastAsia"/>
          <w:b/>
          <w:i/>
          <w:sz w:val="21"/>
          <w:szCs w:val="21"/>
          <w:lang w:val="en-US" w:eastAsia="zh-CN"/>
        </w:rPr>
        <w:t>.</w:t>
      </w:r>
    </w:p>
    <w:p>
      <w:pPr>
        <w:pStyle w:val="36"/>
        <w:numPr>
          <w:ilvl w:val="0"/>
          <w:numId w:val="0"/>
        </w:numPr>
        <w:snapToGrid w:val="0"/>
        <w:textAlignment w:val="baseline"/>
        <w:rPr>
          <w:b/>
          <w:i/>
          <w:sz w:val="21"/>
          <w:szCs w:val="21"/>
          <w:lang w:eastAsia="zh-CN"/>
        </w:rPr>
      </w:pPr>
    </w:p>
    <w:p>
      <w:pPr>
        <w:pStyle w:val="36"/>
        <w:numPr>
          <w:ilvl w:val="0"/>
          <w:numId w:val="9"/>
        </w:numPr>
        <w:snapToGrid w:val="0"/>
        <w:ind w:firstLineChars="0"/>
        <w:textAlignment w:val="baseline"/>
        <w:rPr>
          <w:b/>
          <w:i/>
          <w:sz w:val="21"/>
          <w:szCs w:val="21"/>
          <w:u w:val="single"/>
          <w:lang w:eastAsia="zh-CN"/>
        </w:rPr>
      </w:pPr>
      <w:r>
        <w:rPr>
          <w:rFonts w:eastAsiaTheme="minorEastAsia"/>
          <w:b/>
          <w:i/>
          <w:sz w:val="21"/>
          <w:szCs w:val="21"/>
          <w:lang w:eastAsia="zh-CN"/>
        </w:rPr>
        <w:t>RAN4#11</w:t>
      </w:r>
      <w:r>
        <w:rPr>
          <w:rFonts w:hint="eastAsia" w:eastAsiaTheme="minorEastAsia"/>
          <w:b/>
          <w:i/>
          <w:sz w:val="21"/>
          <w:szCs w:val="21"/>
          <w:lang w:val="en-US" w:eastAsia="zh-CN"/>
        </w:rPr>
        <w:t>6</w:t>
      </w:r>
      <w:r>
        <w:rPr>
          <w:rFonts w:eastAsiaTheme="minorEastAsia"/>
          <w:b/>
          <w:i/>
          <w:sz w:val="21"/>
          <w:szCs w:val="21"/>
          <w:lang w:eastAsia="zh-CN"/>
        </w:rPr>
        <w:t>:</w:t>
      </w:r>
    </w:p>
    <w:p>
      <w:pPr>
        <w:pStyle w:val="36"/>
        <w:numPr>
          <w:ilvl w:val="1"/>
          <w:numId w:val="9"/>
        </w:numPr>
        <w:snapToGrid w:val="0"/>
        <w:ind w:firstLineChars="0"/>
        <w:textAlignment w:val="baseline"/>
        <w:rPr>
          <w:b/>
          <w:i/>
          <w:sz w:val="21"/>
          <w:szCs w:val="21"/>
          <w:lang w:eastAsia="zh-CN"/>
        </w:rPr>
      </w:pPr>
      <w:r>
        <w:rPr>
          <w:b/>
          <w:i/>
          <w:sz w:val="21"/>
          <w:szCs w:val="21"/>
          <w:lang w:eastAsia="zh-CN"/>
        </w:rPr>
        <w:t>Collection of simulation results.</w:t>
      </w:r>
    </w:p>
    <w:p>
      <w:pPr>
        <w:pStyle w:val="36"/>
        <w:numPr>
          <w:ilvl w:val="1"/>
          <w:numId w:val="9"/>
        </w:numPr>
        <w:snapToGrid w:val="0"/>
        <w:ind w:firstLineChars="0"/>
        <w:textAlignment w:val="baseline"/>
        <w:rPr>
          <w:rFonts w:hint="eastAsia"/>
          <w:b/>
          <w:bCs/>
          <w:i/>
          <w:iCs/>
          <w:szCs w:val="21"/>
          <w:lang w:val="en-US" w:eastAsia="zh-CN"/>
        </w:rPr>
      </w:pPr>
      <w:r>
        <w:rPr>
          <w:rFonts w:hint="eastAsia"/>
          <w:b/>
          <w:i/>
          <w:sz w:val="21"/>
          <w:szCs w:val="21"/>
          <w:lang w:eastAsia="zh-CN"/>
        </w:rPr>
        <w:t>D</w:t>
      </w:r>
      <w:r>
        <w:rPr>
          <w:b/>
          <w:i/>
          <w:sz w:val="21"/>
          <w:szCs w:val="21"/>
          <w:lang w:eastAsia="zh-CN"/>
        </w:rPr>
        <w:t>raft CR endorsed, and big CR agreed.</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Propose 2. Propose to define only single tone with both 3.75kHz and 15kHz SCS demodulation requirements.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Propose 3. Propose to consider CDM of DMRS to single tone with 15kHz and TDM of DMRS to single tone with 3.75kHz if necessary. </w:t>
      </w:r>
    </w:p>
    <w:p>
      <w:pPr>
        <w:widowControl w:val="0"/>
        <w:spacing w:beforeLines="100" w:afterLines="0" w:line="240" w:lineRule="auto"/>
        <w:jc w:val="both"/>
        <w:rPr>
          <w:rFonts w:hint="default"/>
          <w:b/>
          <w:bCs/>
          <w:i/>
          <w:iCs/>
          <w:strike w:val="0"/>
          <w:dstrike w:val="0"/>
          <w:szCs w:val="21"/>
          <w:lang w:val="en-US" w:eastAsia="zh-CN"/>
        </w:rPr>
      </w:pPr>
      <w:r>
        <w:rPr>
          <w:rFonts w:hint="eastAsia"/>
          <w:b/>
          <w:bCs/>
          <w:i/>
          <w:iCs/>
          <w:szCs w:val="21"/>
          <w:lang w:val="en-US" w:eastAsia="zh-CN"/>
        </w:rPr>
        <w:t>Propose 4. Propose to reuse legacy antenna configuration (e.g., 1T1R and 1T2R) and propagation conditions (e.g., NTN TDLA100-1 and NTN TDLC5-1).</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Propose 5. Propose to do not define NPRACH with OCC demodulation requirements.</w:t>
      </w:r>
    </w:p>
    <w:p>
      <w:pPr>
        <w:keepNext w:val="0"/>
        <w:keepLines w:val="0"/>
        <w:pageBreakBefore w:val="0"/>
        <w:widowControl w:val="0"/>
        <w:kinsoku/>
        <w:wordWrap/>
        <w:topLinePunct w:val="0"/>
        <w:bidi w:val="0"/>
        <w:rPr>
          <w:rFonts w:hint="default"/>
          <w:b/>
          <w:bCs/>
          <w:i/>
          <w:iCs/>
          <w:strike w:val="0"/>
          <w:dstrike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6"/>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RP-242397, Revised WID on Non-Terrestrial Networks (NTN) for Internet of Things (IoT) Phase 3.</w:t>
      </w: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2</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5">
    <w:nsid w:val="3F6832A6"/>
    <w:multiLevelType w:val="multilevel"/>
    <w:tmpl w:val="3F6832A6"/>
    <w:lvl w:ilvl="0" w:tentative="0">
      <w:start w:val="1"/>
      <w:numFmt w:val="bullet"/>
      <w:pStyle w:val="80"/>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6">
    <w:nsid w:val="55F85F23"/>
    <w:multiLevelType w:val="multilevel"/>
    <w:tmpl w:val="55F85F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A343C6E"/>
    <w:multiLevelType w:val="multilevel"/>
    <w:tmpl w:val="5A343C6E"/>
    <w:lvl w:ilvl="0" w:tentative="0">
      <w:start w:val="0"/>
      <w:numFmt w:val="bullet"/>
      <w:lvlText w:val="-"/>
      <w:lvlJc w:val="left"/>
      <w:pPr>
        <w:ind w:left="840" w:hanging="420"/>
      </w:pPr>
      <w:rPr>
        <w:rFonts w:hint="default" w:ascii="Times New Roman" w:hAnsi="Times New Roman" w:cs="Times New Roman" w:eastAsiaTheme="minorEastAsia"/>
        <w:sz w:val="24"/>
      </w:rPr>
    </w:lvl>
    <w:lvl w:ilvl="1" w:tentative="0">
      <w:start w:val="1"/>
      <w:numFmt w:val="bullet"/>
      <w:lvlText w:val="•"/>
      <w:lvlJc w:val="left"/>
      <w:pPr>
        <w:ind w:left="1260" w:hanging="420"/>
      </w:pPr>
      <w:rPr>
        <w:rFonts w:hint="default" w:ascii="Arial" w:hAnsi="Arial"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9"/>
  </w:num>
  <w:num w:numId="3">
    <w:abstractNumId w:val="3"/>
  </w:num>
  <w:num w:numId="4">
    <w:abstractNumId w:val="4"/>
  </w:num>
  <w:num w:numId="5">
    <w:abstractNumId w:val="1"/>
  </w:num>
  <w:num w:numId="6">
    <w:abstractNumId w:val="0"/>
  </w:num>
  <w:num w:numId="7">
    <w:abstractNumId w:val="5"/>
  </w:num>
  <w:num w:numId="8">
    <w:abstractNumId w:val="6"/>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5CDF"/>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1A46F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D1D66"/>
    <w:rsid w:val="0585112B"/>
    <w:rsid w:val="059D265F"/>
    <w:rsid w:val="05B2756C"/>
    <w:rsid w:val="05B92EC1"/>
    <w:rsid w:val="05D03328"/>
    <w:rsid w:val="05E078B3"/>
    <w:rsid w:val="05EE6E49"/>
    <w:rsid w:val="0601277E"/>
    <w:rsid w:val="060C5931"/>
    <w:rsid w:val="060C5AED"/>
    <w:rsid w:val="06103146"/>
    <w:rsid w:val="06172561"/>
    <w:rsid w:val="061E54DA"/>
    <w:rsid w:val="061E5E22"/>
    <w:rsid w:val="06292585"/>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2C781D"/>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45AD5"/>
    <w:rsid w:val="07ED524D"/>
    <w:rsid w:val="07FA7E23"/>
    <w:rsid w:val="080124E3"/>
    <w:rsid w:val="080C7FA0"/>
    <w:rsid w:val="0829247C"/>
    <w:rsid w:val="082D5BBC"/>
    <w:rsid w:val="08341060"/>
    <w:rsid w:val="08787FF0"/>
    <w:rsid w:val="088178D8"/>
    <w:rsid w:val="0889002B"/>
    <w:rsid w:val="088F053E"/>
    <w:rsid w:val="08A200D8"/>
    <w:rsid w:val="08A44DA6"/>
    <w:rsid w:val="08AA245A"/>
    <w:rsid w:val="08BA6E24"/>
    <w:rsid w:val="08C562FD"/>
    <w:rsid w:val="08CA2731"/>
    <w:rsid w:val="08CA27B1"/>
    <w:rsid w:val="08CE6218"/>
    <w:rsid w:val="08E56C64"/>
    <w:rsid w:val="08E916DF"/>
    <w:rsid w:val="08FC0AA5"/>
    <w:rsid w:val="09291241"/>
    <w:rsid w:val="093063BD"/>
    <w:rsid w:val="09306537"/>
    <w:rsid w:val="09355076"/>
    <w:rsid w:val="09392119"/>
    <w:rsid w:val="09445E95"/>
    <w:rsid w:val="09543B3B"/>
    <w:rsid w:val="09600FBD"/>
    <w:rsid w:val="0963672B"/>
    <w:rsid w:val="098143BC"/>
    <w:rsid w:val="099E309A"/>
    <w:rsid w:val="099F436D"/>
    <w:rsid w:val="09BD407A"/>
    <w:rsid w:val="09C96CE9"/>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AD6492"/>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5D2504"/>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5B4F87"/>
    <w:rsid w:val="116A74C9"/>
    <w:rsid w:val="116F1EB0"/>
    <w:rsid w:val="11763F26"/>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95A40"/>
    <w:rsid w:val="138E530D"/>
    <w:rsid w:val="139D1D33"/>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31BB0"/>
    <w:rsid w:val="143D75EE"/>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1182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21E1B"/>
    <w:rsid w:val="16EB6E00"/>
    <w:rsid w:val="16FD2447"/>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263AD"/>
    <w:rsid w:val="18B50543"/>
    <w:rsid w:val="18CD7A02"/>
    <w:rsid w:val="18F86F87"/>
    <w:rsid w:val="19001FFC"/>
    <w:rsid w:val="190E2B4A"/>
    <w:rsid w:val="19256D7A"/>
    <w:rsid w:val="19322C83"/>
    <w:rsid w:val="193275C2"/>
    <w:rsid w:val="19337933"/>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E5F99"/>
    <w:rsid w:val="1A4858FF"/>
    <w:rsid w:val="1A4C698A"/>
    <w:rsid w:val="1A5E4B5A"/>
    <w:rsid w:val="1A612F84"/>
    <w:rsid w:val="1A672B1C"/>
    <w:rsid w:val="1A8301C0"/>
    <w:rsid w:val="1A872248"/>
    <w:rsid w:val="1A9B2279"/>
    <w:rsid w:val="1A9E6232"/>
    <w:rsid w:val="1AA74D3D"/>
    <w:rsid w:val="1AB34DB4"/>
    <w:rsid w:val="1AB613FD"/>
    <w:rsid w:val="1ABF4DC5"/>
    <w:rsid w:val="1ACF5EB8"/>
    <w:rsid w:val="1AD26086"/>
    <w:rsid w:val="1AE013F8"/>
    <w:rsid w:val="1AE8570C"/>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B3055"/>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AC27BE"/>
    <w:rsid w:val="1DB33C11"/>
    <w:rsid w:val="1DC43CB7"/>
    <w:rsid w:val="1DC65562"/>
    <w:rsid w:val="1DD32F44"/>
    <w:rsid w:val="1DE22D4F"/>
    <w:rsid w:val="1DE94164"/>
    <w:rsid w:val="1DEA459C"/>
    <w:rsid w:val="1DEE1B11"/>
    <w:rsid w:val="1E164B52"/>
    <w:rsid w:val="1E273844"/>
    <w:rsid w:val="1E2F243E"/>
    <w:rsid w:val="1E455D19"/>
    <w:rsid w:val="1E480E15"/>
    <w:rsid w:val="1E4A35C1"/>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0B582C"/>
    <w:rsid w:val="201D443F"/>
    <w:rsid w:val="20412383"/>
    <w:rsid w:val="20446081"/>
    <w:rsid w:val="204852AD"/>
    <w:rsid w:val="204E6676"/>
    <w:rsid w:val="2054040D"/>
    <w:rsid w:val="20590807"/>
    <w:rsid w:val="205A5AA0"/>
    <w:rsid w:val="20773A28"/>
    <w:rsid w:val="20814938"/>
    <w:rsid w:val="208574F4"/>
    <w:rsid w:val="208F6BAF"/>
    <w:rsid w:val="209A6308"/>
    <w:rsid w:val="20A062EA"/>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D9385E"/>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1B5C62"/>
    <w:rsid w:val="245872F9"/>
    <w:rsid w:val="245943D9"/>
    <w:rsid w:val="245E6B64"/>
    <w:rsid w:val="2463385E"/>
    <w:rsid w:val="246B247D"/>
    <w:rsid w:val="248747CF"/>
    <w:rsid w:val="24967323"/>
    <w:rsid w:val="249D5FC8"/>
    <w:rsid w:val="24A1538E"/>
    <w:rsid w:val="24A3442A"/>
    <w:rsid w:val="24B918AE"/>
    <w:rsid w:val="24B9450F"/>
    <w:rsid w:val="24C83F94"/>
    <w:rsid w:val="24F60CDA"/>
    <w:rsid w:val="24F72435"/>
    <w:rsid w:val="24F84634"/>
    <w:rsid w:val="2505023E"/>
    <w:rsid w:val="250D450C"/>
    <w:rsid w:val="25134332"/>
    <w:rsid w:val="25141A5B"/>
    <w:rsid w:val="2521546A"/>
    <w:rsid w:val="252B49E0"/>
    <w:rsid w:val="25734B61"/>
    <w:rsid w:val="2574254A"/>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204B5D"/>
    <w:rsid w:val="272F31A0"/>
    <w:rsid w:val="27342901"/>
    <w:rsid w:val="273D2762"/>
    <w:rsid w:val="27470B72"/>
    <w:rsid w:val="27483874"/>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B87726"/>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BB6B4E"/>
    <w:rsid w:val="29CF32B2"/>
    <w:rsid w:val="29DE15A2"/>
    <w:rsid w:val="29EF3680"/>
    <w:rsid w:val="29EF424E"/>
    <w:rsid w:val="29F62E74"/>
    <w:rsid w:val="29F93F5E"/>
    <w:rsid w:val="29FA7F26"/>
    <w:rsid w:val="2A0C61D3"/>
    <w:rsid w:val="2A0C677E"/>
    <w:rsid w:val="2A35650F"/>
    <w:rsid w:val="2A405845"/>
    <w:rsid w:val="2A4D593F"/>
    <w:rsid w:val="2A585A33"/>
    <w:rsid w:val="2A6E31F8"/>
    <w:rsid w:val="2A7121B2"/>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DFC771C"/>
    <w:rsid w:val="2E34792A"/>
    <w:rsid w:val="2E423D71"/>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31C4A"/>
    <w:rsid w:val="2F664E2B"/>
    <w:rsid w:val="2F6C7BE3"/>
    <w:rsid w:val="2F783485"/>
    <w:rsid w:val="2F7F5C0B"/>
    <w:rsid w:val="2FA24262"/>
    <w:rsid w:val="2FA6492D"/>
    <w:rsid w:val="2FAE4C44"/>
    <w:rsid w:val="2FD71CA4"/>
    <w:rsid w:val="2FF87390"/>
    <w:rsid w:val="2FF93066"/>
    <w:rsid w:val="301103CD"/>
    <w:rsid w:val="301A71CE"/>
    <w:rsid w:val="301E049B"/>
    <w:rsid w:val="302A4BE6"/>
    <w:rsid w:val="30307691"/>
    <w:rsid w:val="30354EFA"/>
    <w:rsid w:val="303E6BAB"/>
    <w:rsid w:val="304478EC"/>
    <w:rsid w:val="30473F04"/>
    <w:rsid w:val="304A314A"/>
    <w:rsid w:val="3062663F"/>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86B4C"/>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4E34B9"/>
    <w:rsid w:val="33540E5D"/>
    <w:rsid w:val="335A0521"/>
    <w:rsid w:val="335B0187"/>
    <w:rsid w:val="335E7B11"/>
    <w:rsid w:val="3364318B"/>
    <w:rsid w:val="33691888"/>
    <w:rsid w:val="336A499A"/>
    <w:rsid w:val="33704CF3"/>
    <w:rsid w:val="33714830"/>
    <w:rsid w:val="33737F51"/>
    <w:rsid w:val="337964FF"/>
    <w:rsid w:val="337D34FB"/>
    <w:rsid w:val="337E7E0F"/>
    <w:rsid w:val="33AB157E"/>
    <w:rsid w:val="33B6494D"/>
    <w:rsid w:val="33B86AFE"/>
    <w:rsid w:val="33BF4199"/>
    <w:rsid w:val="33CA5D90"/>
    <w:rsid w:val="33E23D2D"/>
    <w:rsid w:val="33FE62E7"/>
    <w:rsid w:val="340D25F6"/>
    <w:rsid w:val="340F5E5C"/>
    <w:rsid w:val="342B76C7"/>
    <w:rsid w:val="342C472B"/>
    <w:rsid w:val="343A1527"/>
    <w:rsid w:val="34447898"/>
    <w:rsid w:val="344E62FA"/>
    <w:rsid w:val="34630E03"/>
    <w:rsid w:val="3472234D"/>
    <w:rsid w:val="34781CA2"/>
    <w:rsid w:val="347B114D"/>
    <w:rsid w:val="347D500F"/>
    <w:rsid w:val="34830157"/>
    <w:rsid w:val="34872D27"/>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5754E9"/>
    <w:rsid w:val="355910C1"/>
    <w:rsid w:val="35621404"/>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6D4645"/>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36707"/>
    <w:rsid w:val="3734159D"/>
    <w:rsid w:val="37382526"/>
    <w:rsid w:val="374E78C1"/>
    <w:rsid w:val="3758590A"/>
    <w:rsid w:val="37602E60"/>
    <w:rsid w:val="378229A7"/>
    <w:rsid w:val="3784394E"/>
    <w:rsid w:val="37987437"/>
    <w:rsid w:val="37994D35"/>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9A1A03"/>
    <w:rsid w:val="38A94D18"/>
    <w:rsid w:val="38BD31EE"/>
    <w:rsid w:val="38CB3BDF"/>
    <w:rsid w:val="38D33D29"/>
    <w:rsid w:val="38E40A5B"/>
    <w:rsid w:val="391476F2"/>
    <w:rsid w:val="39227B06"/>
    <w:rsid w:val="39285D57"/>
    <w:rsid w:val="39372A0B"/>
    <w:rsid w:val="394B6470"/>
    <w:rsid w:val="39526430"/>
    <w:rsid w:val="3955411F"/>
    <w:rsid w:val="39790F9D"/>
    <w:rsid w:val="39860592"/>
    <w:rsid w:val="39872512"/>
    <w:rsid w:val="399E5818"/>
    <w:rsid w:val="39A602F9"/>
    <w:rsid w:val="39A611EE"/>
    <w:rsid w:val="39BD45C8"/>
    <w:rsid w:val="39C2316A"/>
    <w:rsid w:val="39C43643"/>
    <w:rsid w:val="39C77B3B"/>
    <w:rsid w:val="39CB22F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B0D50"/>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8B649C"/>
    <w:rsid w:val="40A25054"/>
    <w:rsid w:val="40A325E0"/>
    <w:rsid w:val="40BD0DA1"/>
    <w:rsid w:val="40C1274D"/>
    <w:rsid w:val="40C93CB0"/>
    <w:rsid w:val="40EC7D18"/>
    <w:rsid w:val="40ED11A0"/>
    <w:rsid w:val="40F82226"/>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C53D53"/>
    <w:rsid w:val="42D064B1"/>
    <w:rsid w:val="42DE48A3"/>
    <w:rsid w:val="42E16058"/>
    <w:rsid w:val="42F17BF5"/>
    <w:rsid w:val="42F87EC9"/>
    <w:rsid w:val="42FA45BF"/>
    <w:rsid w:val="43034DD5"/>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0996"/>
    <w:rsid w:val="44F03F8F"/>
    <w:rsid w:val="44F14ECF"/>
    <w:rsid w:val="45275172"/>
    <w:rsid w:val="452754C3"/>
    <w:rsid w:val="45332511"/>
    <w:rsid w:val="453C48A0"/>
    <w:rsid w:val="45412C46"/>
    <w:rsid w:val="454D500A"/>
    <w:rsid w:val="45514AD5"/>
    <w:rsid w:val="4552412E"/>
    <w:rsid w:val="45554550"/>
    <w:rsid w:val="455908C0"/>
    <w:rsid w:val="45644E09"/>
    <w:rsid w:val="45721348"/>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6B3A63"/>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B700C1"/>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AF115B"/>
    <w:rsid w:val="4EC50C90"/>
    <w:rsid w:val="4EDB58B2"/>
    <w:rsid w:val="4EE925CE"/>
    <w:rsid w:val="4EEF2E30"/>
    <w:rsid w:val="4EF24828"/>
    <w:rsid w:val="4EFE7F59"/>
    <w:rsid w:val="4F171C50"/>
    <w:rsid w:val="4F285975"/>
    <w:rsid w:val="4F290E6D"/>
    <w:rsid w:val="4F2A7BF3"/>
    <w:rsid w:val="4F2E2624"/>
    <w:rsid w:val="4F431C53"/>
    <w:rsid w:val="4F4A2FB1"/>
    <w:rsid w:val="4F4B49E4"/>
    <w:rsid w:val="4F4E1077"/>
    <w:rsid w:val="4F546156"/>
    <w:rsid w:val="4F610AE8"/>
    <w:rsid w:val="4F843B05"/>
    <w:rsid w:val="4F844A99"/>
    <w:rsid w:val="4F8E3E3B"/>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C0643"/>
    <w:rsid w:val="52272B85"/>
    <w:rsid w:val="523E09B5"/>
    <w:rsid w:val="52416E80"/>
    <w:rsid w:val="525770DA"/>
    <w:rsid w:val="525A1C6E"/>
    <w:rsid w:val="525E17DE"/>
    <w:rsid w:val="52687B2A"/>
    <w:rsid w:val="526E0E82"/>
    <w:rsid w:val="52734F68"/>
    <w:rsid w:val="527901C6"/>
    <w:rsid w:val="52A24532"/>
    <w:rsid w:val="52A45841"/>
    <w:rsid w:val="52B3363A"/>
    <w:rsid w:val="52C4202F"/>
    <w:rsid w:val="52C4763C"/>
    <w:rsid w:val="52CB19CD"/>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4D5C5C"/>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6771"/>
    <w:rsid w:val="55F5152F"/>
    <w:rsid w:val="560B1622"/>
    <w:rsid w:val="56102AF9"/>
    <w:rsid w:val="56106284"/>
    <w:rsid w:val="562C1706"/>
    <w:rsid w:val="5632642A"/>
    <w:rsid w:val="56327A2B"/>
    <w:rsid w:val="56375B61"/>
    <w:rsid w:val="564944F4"/>
    <w:rsid w:val="564E5820"/>
    <w:rsid w:val="565E6D49"/>
    <w:rsid w:val="56630C00"/>
    <w:rsid w:val="567739D2"/>
    <w:rsid w:val="567B6271"/>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1C599D"/>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200EBC"/>
    <w:rsid w:val="593559FD"/>
    <w:rsid w:val="594079B2"/>
    <w:rsid w:val="594A13D7"/>
    <w:rsid w:val="595346FA"/>
    <w:rsid w:val="59586F24"/>
    <w:rsid w:val="5987482A"/>
    <w:rsid w:val="599C49A8"/>
    <w:rsid w:val="59A36725"/>
    <w:rsid w:val="59B21BF9"/>
    <w:rsid w:val="59BB4EA3"/>
    <w:rsid w:val="59E9525B"/>
    <w:rsid w:val="5A3C0F08"/>
    <w:rsid w:val="5A3E5B83"/>
    <w:rsid w:val="5A5663A3"/>
    <w:rsid w:val="5A571746"/>
    <w:rsid w:val="5A6253E3"/>
    <w:rsid w:val="5A685562"/>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7106B"/>
    <w:rsid w:val="5B785E83"/>
    <w:rsid w:val="5B7C1CD1"/>
    <w:rsid w:val="5B82056F"/>
    <w:rsid w:val="5B8C1E41"/>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35386"/>
    <w:rsid w:val="5C3B6CFC"/>
    <w:rsid w:val="5C4C2CF4"/>
    <w:rsid w:val="5C504241"/>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65935"/>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62809"/>
    <w:rsid w:val="5E795832"/>
    <w:rsid w:val="5E830708"/>
    <w:rsid w:val="5E831398"/>
    <w:rsid w:val="5E85633A"/>
    <w:rsid w:val="5E921A45"/>
    <w:rsid w:val="5E975993"/>
    <w:rsid w:val="5EB51FDE"/>
    <w:rsid w:val="5EBA4472"/>
    <w:rsid w:val="5ECA3D37"/>
    <w:rsid w:val="5EE153F8"/>
    <w:rsid w:val="5EED7893"/>
    <w:rsid w:val="5EF10381"/>
    <w:rsid w:val="5F0A3A61"/>
    <w:rsid w:val="5F24345F"/>
    <w:rsid w:val="5F2E4AEA"/>
    <w:rsid w:val="5F4F1B95"/>
    <w:rsid w:val="5F683B6E"/>
    <w:rsid w:val="5F875C0C"/>
    <w:rsid w:val="5F8F0B9E"/>
    <w:rsid w:val="5F8F267A"/>
    <w:rsid w:val="5F9C0E79"/>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CC64BD"/>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095B0B"/>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6621C"/>
    <w:rsid w:val="661D25CE"/>
    <w:rsid w:val="66206CF2"/>
    <w:rsid w:val="66265846"/>
    <w:rsid w:val="66287C9C"/>
    <w:rsid w:val="66337B4D"/>
    <w:rsid w:val="664805B8"/>
    <w:rsid w:val="665654C1"/>
    <w:rsid w:val="665B55EA"/>
    <w:rsid w:val="66655F85"/>
    <w:rsid w:val="66697B98"/>
    <w:rsid w:val="66740704"/>
    <w:rsid w:val="667C7AEC"/>
    <w:rsid w:val="66984358"/>
    <w:rsid w:val="669B7C76"/>
    <w:rsid w:val="66A200F8"/>
    <w:rsid w:val="66A30EC2"/>
    <w:rsid w:val="66AA4BA8"/>
    <w:rsid w:val="66C67848"/>
    <w:rsid w:val="66C955BD"/>
    <w:rsid w:val="66DC317D"/>
    <w:rsid w:val="66EB431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0FB8"/>
    <w:rsid w:val="677261FD"/>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4D2DB0"/>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128F1"/>
    <w:rsid w:val="6B4B0A4C"/>
    <w:rsid w:val="6B50310B"/>
    <w:rsid w:val="6B5045E2"/>
    <w:rsid w:val="6B58183A"/>
    <w:rsid w:val="6B736A2E"/>
    <w:rsid w:val="6B8138E2"/>
    <w:rsid w:val="6B8170D6"/>
    <w:rsid w:val="6B884219"/>
    <w:rsid w:val="6B90781F"/>
    <w:rsid w:val="6B974370"/>
    <w:rsid w:val="6B9C76AD"/>
    <w:rsid w:val="6BA9194F"/>
    <w:rsid w:val="6BAC41DA"/>
    <w:rsid w:val="6BAE64BE"/>
    <w:rsid w:val="6BB77A49"/>
    <w:rsid w:val="6BE727F5"/>
    <w:rsid w:val="6BEE7CAA"/>
    <w:rsid w:val="6BF34791"/>
    <w:rsid w:val="6BF36ABE"/>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56DEE"/>
    <w:rsid w:val="6FC9109F"/>
    <w:rsid w:val="6FD87CB4"/>
    <w:rsid w:val="6FDB518F"/>
    <w:rsid w:val="6FDD13A5"/>
    <w:rsid w:val="6FE529ED"/>
    <w:rsid w:val="6FF733A7"/>
    <w:rsid w:val="70003DD9"/>
    <w:rsid w:val="70072915"/>
    <w:rsid w:val="70072AC0"/>
    <w:rsid w:val="70134A4D"/>
    <w:rsid w:val="70172090"/>
    <w:rsid w:val="70195E88"/>
    <w:rsid w:val="701D43BA"/>
    <w:rsid w:val="70291B8A"/>
    <w:rsid w:val="702B6F43"/>
    <w:rsid w:val="702F2998"/>
    <w:rsid w:val="703179E0"/>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E71573"/>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C64A3C"/>
    <w:rsid w:val="74E06625"/>
    <w:rsid w:val="75084E8F"/>
    <w:rsid w:val="75202656"/>
    <w:rsid w:val="75293B62"/>
    <w:rsid w:val="753B0883"/>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3E7FF4"/>
    <w:rsid w:val="76425118"/>
    <w:rsid w:val="764838B9"/>
    <w:rsid w:val="764B15DA"/>
    <w:rsid w:val="764C09B4"/>
    <w:rsid w:val="764F5A52"/>
    <w:rsid w:val="764F6981"/>
    <w:rsid w:val="766A4A0D"/>
    <w:rsid w:val="7692667A"/>
    <w:rsid w:val="76982273"/>
    <w:rsid w:val="769A7352"/>
    <w:rsid w:val="76A177B8"/>
    <w:rsid w:val="76A20D10"/>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4F1482"/>
    <w:rsid w:val="795D4CA8"/>
    <w:rsid w:val="7964574A"/>
    <w:rsid w:val="79941CF2"/>
    <w:rsid w:val="79973382"/>
    <w:rsid w:val="799D0BC0"/>
    <w:rsid w:val="79C5707E"/>
    <w:rsid w:val="79D33056"/>
    <w:rsid w:val="79D82BB5"/>
    <w:rsid w:val="79EC0256"/>
    <w:rsid w:val="79F60153"/>
    <w:rsid w:val="79FB6E2C"/>
    <w:rsid w:val="7A000A00"/>
    <w:rsid w:val="7A0C4750"/>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B0A1B69"/>
    <w:rsid w:val="7B160FC2"/>
    <w:rsid w:val="7B274176"/>
    <w:rsid w:val="7B2B3677"/>
    <w:rsid w:val="7B356407"/>
    <w:rsid w:val="7B401C79"/>
    <w:rsid w:val="7B440ED6"/>
    <w:rsid w:val="7B4678D7"/>
    <w:rsid w:val="7B4B2A93"/>
    <w:rsid w:val="7B527515"/>
    <w:rsid w:val="7B560A24"/>
    <w:rsid w:val="7B5922B3"/>
    <w:rsid w:val="7B890A24"/>
    <w:rsid w:val="7B9B691F"/>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3C6A63"/>
    <w:rsid w:val="7C4A2BD1"/>
    <w:rsid w:val="7C576C70"/>
    <w:rsid w:val="7C77043F"/>
    <w:rsid w:val="7C895074"/>
    <w:rsid w:val="7C8A7CDC"/>
    <w:rsid w:val="7C924172"/>
    <w:rsid w:val="7C9E5A24"/>
    <w:rsid w:val="7CAB7A96"/>
    <w:rsid w:val="7CB4006B"/>
    <w:rsid w:val="7CB92AA1"/>
    <w:rsid w:val="7CB93ABB"/>
    <w:rsid w:val="7CE656F0"/>
    <w:rsid w:val="7CED34FF"/>
    <w:rsid w:val="7CEE5458"/>
    <w:rsid w:val="7CF26588"/>
    <w:rsid w:val="7CF444EB"/>
    <w:rsid w:val="7CF565D7"/>
    <w:rsid w:val="7CFA3A46"/>
    <w:rsid w:val="7D0B2971"/>
    <w:rsid w:val="7D0F5720"/>
    <w:rsid w:val="7D2E198F"/>
    <w:rsid w:val="7D3A787F"/>
    <w:rsid w:val="7D3B3737"/>
    <w:rsid w:val="7D3D73AF"/>
    <w:rsid w:val="7D5B27C9"/>
    <w:rsid w:val="7D617E34"/>
    <w:rsid w:val="7D62117D"/>
    <w:rsid w:val="7D794101"/>
    <w:rsid w:val="7D7E2111"/>
    <w:rsid w:val="7D834A16"/>
    <w:rsid w:val="7D9D438F"/>
    <w:rsid w:val="7DA514D2"/>
    <w:rsid w:val="7DBE1B45"/>
    <w:rsid w:val="7DC03698"/>
    <w:rsid w:val="7DCD4EB5"/>
    <w:rsid w:val="7DEE3937"/>
    <w:rsid w:val="7DFB1EBB"/>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EFF16BC"/>
    <w:rsid w:val="7F0C2035"/>
    <w:rsid w:val="7F0F7992"/>
    <w:rsid w:val="7F145201"/>
    <w:rsid w:val="7F1B0865"/>
    <w:rsid w:val="7F2666FD"/>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qFormat="1" w:unhideWhenUsed="0" w:uiPriority="0" w:semiHidden="0"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2"/>
    <w:next w:val="1"/>
    <w:qFormat/>
    <w:uiPriority w:val="0"/>
    <w:pPr>
      <w:ind w:left="0" w:firstLine="0"/>
      <w:outlineLvl w:val="7"/>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List 3"/>
    <w:basedOn w:val="11"/>
    <w:semiHidden/>
    <w:qFormat/>
    <w:uiPriority w:val="0"/>
    <w:pPr>
      <w:ind w:left="1135"/>
    </w:pPr>
  </w:style>
  <w:style w:type="paragraph" w:styleId="11">
    <w:name w:val="List 2"/>
    <w:basedOn w:val="12"/>
    <w:semiHidden/>
    <w:qFormat/>
    <w:uiPriority w:val="0"/>
    <w:pPr>
      <w:ind w:left="851"/>
    </w:pPr>
  </w:style>
  <w:style w:type="paragraph" w:styleId="12">
    <w:name w:val="List"/>
    <w:basedOn w:val="1"/>
    <w:qFormat/>
    <w:uiPriority w:val="0"/>
    <w:pPr>
      <w:ind w:left="568" w:hanging="284"/>
    </w:pPr>
  </w:style>
  <w:style w:type="paragraph" w:styleId="13">
    <w:name w:val="caption"/>
    <w:basedOn w:val="1"/>
    <w:next w:val="1"/>
    <w:qFormat/>
    <w:uiPriority w:val="0"/>
    <w:pPr>
      <w:overflowPunct w:val="0"/>
      <w:autoSpaceDE w:val="0"/>
      <w:autoSpaceDN w:val="0"/>
      <w:adjustRightInd w:val="0"/>
      <w:spacing w:before="120" w:after="120"/>
      <w:textAlignment w:val="baseline"/>
    </w:pPr>
    <w:rPr>
      <w:b/>
    </w:rPr>
  </w:style>
  <w:style w:type="paragraph" w:styleId="14">
    <w:name w:val="Document Map"/>
    <w:basedOn w:val="1"/>
    <w:link w:val="43"/>
    <w:semiHidden/>
    <w:unhideWhenUsed/>
    <w:qFormat/>
    <w:uiPriority w:val="99"/>
    <w:rPr>
      <w:rFonts w:ascii="宋体"/>
      <w:sz w:val="18"/>
      <w:szCs w:val="18"/>
    </w:rPr>
  </w:style>
  <w:style w:type="paragraph" w:styleId="15">
    <w:name w:val="annotation text"/>
    <w:basedOn w:val="1"/>
    <w:link w:val="44"/>
    <w:unhideWhenUsed/>
    <w:qFormat/>
    <w:uiPriority w:val="0"/>
    <w:pPr>
      <w:spacing w:before="120" w:after="120"/>
      <w:jc w:val="left"/>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2"/>
    <w:semiHidden/>
    <w:unhideWhenUsed/>
    <w:qFormat/>
    <w:uiPriority w:val="99"/>
    <w:pPr>
      <w:spacing w:line="240" w:lineRule="auto"/>
    </w:pPr>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0"/>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5"/>
    <w:next w:val="15"/>
    <w:link w:val="45"/>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annotation reference"/>
    <w:basedOn w:val="27"/>
    <w:unhideWhenUsed/>
    <w:qFormat/>
    <w:uiPriority w:val="0"/>
    <w:rPr>
      <w:sz w:val="16"/>
      <w:szCs w:val="16"/>
    </w:rPr>
  </w:style>
  <w:style w:type="character" w:customStyle="1" w:styleId="32">
    <w:name w:val="批注框文本 Char"/>
    <w:basedOn w:val="27"/>
    <w:link w:val="17"/>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7"/>
    <w:link w:val="19"/>
    <w:semiHidden/>
    <w:qFormat/>
    <w:uiPriority w:val="0"/>
    <w:rPr>
      <w:rFonts w:eastAsia="宋体"/>
      <w:kern w:val="2"/>
      <w:sz w:val="21"/>
    </w:rPr>
  </w:style>
  <w:style w:type="character" w:customStyle="1" w:styleId="41">
    <w:name w:val="页脚 Char"/>
    <w:basedOn w:val="27"/>
    <w:link w:val="18"/>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7"/>
    <w:link w:val="14"/>
    <w:semiHidden/>
    <w:qFormat/>
    <w:uiPriority w:val="99"/>
    <w:rPr>
      <w:rFonts w:ascii="宋体"/>
      <w:kern w:val="2"/>
      <w:sz w:val="18"/>
      <w:szCs w:val="18"/>
    </w:rPr>
  </w:style>
  <w:style w:type="character" w:customStyle="1" w:styleId="44">
    <w:name w:val="批注文字 Char"/>
    <w:basedOn w:val="27"/>
    <w:link w:val="15"/>
    <w:qFormat/>
    <w:uiPriority w:val="0"/>
    <w:rPr>
      <w:rFonts w:eastAsia="宋体"/>
      <w:kern w:val="2"/>
      <w:sz w:val="21"/>
    </w:rPr>
  </w:style>
  <w:style w:type="character" w:customStyle="1" w:styleId="45">
    <w:name w:val="批注主题 Char"/>
    <w:basedOn w:val="44"/>
    <w:link w:val="24"/>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2"/>
    <w:link w:val="63"/>
    <w:qFormat/>
    <w:uiPriority w:val="0"/>
  </w:style>
  <w:style w:type="paragraph" w:customStyle="1" w:styleId="50">
    <w:name w:val="B3"/>
    <w:basedOn w:val="10"/>
    <w:qFormat/>
    <w:uiPriority w:val="0"/>
    <w:pPr>
      <w:ind w:left="1135" w:hanging="284"/>
    </w:pPr>
  </w:style>
  <w:style w:type="character" w:styleId="51">
    <w:name w:val="Placeholder Text"/>
    <w:basedOn w:val="27"/>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7"/>
    <w:link w:val="5"/>
    <w:qFormat/>
    <w:uiPriority w:val="0"/>
    <w:rPr>
      <w:rFonts w:ascii="Arial" w:hAnsi="Arial" w:eastAsia="MS Mincho"/>
      <w:kern w:val="2"/>
      <w:sz w:val="24"/>
    </w:rPr>
  </w:style>
  <w:style w:type="character" w:customStyle="1" w:styleId="56">
    <w:name w:val="标题 3 Char"/>
    <w:basedOn w:val="27"/>
    <w:link w:val="4"/>
    <w:qFormat/>
    <w:uiPriority w:val="0"/>
    <w:rPr>
      <w:rFonts w:ascii="Arial" w:hAnsi="Arial" w:eastAsia="MS Mincho"/>
      <w:kern w:val="2"/>
      <w:sz w:val="24"/>
    </w:rPr>
  </w:style>
  <w:style w:type="character" w:customStyle="1" w:styleId="57">
    <w:name w:val="标题 2 Char"/>
    <w:basedOn w:val="27"/>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修订1"/>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7"/>
    <w:qFormat/>
    <w:uiPriority w:val="0"/>
  </w:style>
  <w:style w:type="paragraph" w:customStyle="1" w:styleId="74">
    <w:name w:val="样式 页眉"/>
    <w:basedOn w:val="19"/>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10"/>
    <w:basedOn w:val="27"/>
    <w:qFormat/>
    <w:uiPriority w:val="0"/>
    <w:rPr>
      <w:rFonts w:hint="default" w:ascii="Times New Roman" w:hAnsi="Times New Roman" w:cs="Times New Roman"/>
    </w:rPr>
  </w:style>
  <w:style w:type="character" w:customStyle="1" w:styleId="77">
    <w:name w:val="15"/>
    <w:basedOn w:val="27"/>
    <w:qFormat/>
    <w:uiPriority w:val="0"/>
    <w:rPr>
      <w:rFonts w:hint="default" w:ascii="Times New Roman" w:hAnsi="Times New Roman" w:cs="Times New Roman"/>
    </w:rPr>
  </w:style>
  <w:style w:type="paragraph" w:customStyle="1" w:styleId="78">
    <w:name w:val="列出段落1"/>
    <w:basedOn w:val="1"/>
    <w:qFormat/>
    <w:uiPriority w:val="0"/>
    <w:pPr>
      <w:spacing w:after="180"/>
      <w:ind w:firstLine="420" w:firstLineChars="200"/>
      <w:jc w:val="left"/>
    </w:pPr>
    <w:rPr>
      <w:kern w:val="0"/>
    </w:rPr>
  </w:style>
  <w:style w:type="paragraph" w:customStyle="1" w:styleId="79">
    <w:name w:val="TF"/>
    <w:basedOn w:val="58"/>
    <w:qFormat/>
    <w:uiPriority w:val="0"/>
    <w:pPr>
      <w:keepNext w:val="0"/>
      <w:spacing w:before="0" w:after="240"/>
    </w:pPr>
  </w:style>
  <w:style w:type="paragraph" w:customStyle="1" w:styleId="80">
    <w:name w:val="缩进1proposal"/>
    <w:basedOn w:val="36"/>
    <w:qFormat/>
    <w:uiPriority w:val="0"/>
    <w:pPr>
      <w:widowControl w:val="0"/>
      <w:numPr>
        <w:ilvl w:val="0"/>
        <w:numId w:val="7"/>
      </w:numPr>
      <w:overflowPunct/>
      <w:spacing w:after="50"/>
      <w:ind w:firstLine="0" w:firstLineChars="0"/>
      <w:jc w:val="both"/>
      <w:textAlignment w:val="auto"/>
    </w:pPr>
    <w:rPr>
      <w:rFonts w:ascii="Times" w:hAnsi="Times" w:eastAsia="微软雅黑"/>
      <w:b/>
      <w:lang w:val="en-US" w:eastAsia="zh-CN"/>
    </w:rPr>
  </w:style>
  <w:style w:type="paragraph" w:customStyle="1" w:styleId="81">
    <w:name w:val="proposal"/>
    <w:basedOn w:val="1"/>
    <w:qFormat/>
    <w:uiPriority w:val="0"/>
    <w:pPr>
      <w:overflowPunct/>
      <w:autoSpaceDE/>
      <w:autoSpaceDN/>
      <w:adjustRightInd/>
      <w:spacing w:after="50" w:afterLines="50"/>
      <w:jc w:val="both"/>
      <w:textAlignment w:val="auto"/>
    </w:pPr>
    <w:rPr>
      <w:rFonts w:cs="宋体"/>
      <w:b/>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2025-05-09T09:11:39Z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